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29.07.2022 N 519н</w:t>
              <w:br/>
              <w:t xml:space="preserve">"Об утверждении Порядка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трансплантации"</w:t>
              <w:br/>
              <w:t xml:space="preserve">(Зарегистрировано в Минюсте России 30.08.2022 N 69838)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августа 2022 г. N 69838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июля 2022 г. N 519н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МЕДИЦИНСКОГО ОБСЛЕДОВАНИЯ ДОНОРА, ДАВШЕГО</w:t>
      </w:r>
    </w:p>
    <w:p>
      <w:pPr>
        <w:pStyle w:val="2"/>
        <w:jc w:val="center"/>
      </w:pPr>
      <w:r>
        <w:rPr>
          <w:sz w:val="20"/>
        </w:rPr>
        <w:t xml:space="preserve">ПИСЬМЕННОЕ ИНФОРМИРОВАННОЕ ДОБРОВОЛЬНОЕ СОГЛАСИЕ НА ИЗЪЯТИЕ</w:t>
      </w:r>
    </w:p>
    <w:p>
      <w:pPr>
        <w:pStyle w:val="2"/>
        <w:jc w:val="center"/>
      </w:pPr>
      <w:r>
        <w:rPr>
          <w:sz w:val="20"/>
        </w:rPr>
        <w:t xml:space="preserve">СВОИХ ОРГАНОВ И (ИЛИ) ТКАНЕЙ ДЛЯ ТРАНСПЛАНТАЦИИ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частью первой статьи 12</w:t>
        </w:r>
      </w:hyperlink>
      <w:r>
        <w:rPr>
          <w:sz w:val="20"/>
        </w:rPr>
        <w:t xml:space="preserve"> Закона Российской Федерации от 22 декабря 1992 г. N 4180-1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62; Собрание законодательства Российской Федерации, 2022, N 18, ст. 3015)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15, ст. 2596).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2023 г. и действует до 1 сентября 2029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июля 2022 г. N 519н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МЕДИЦИНСКОГО ОБСЛЕДОВАНИЯ ДОНОРА, ДАВШЕГО</w:t>
      </w:r>
    </w:p>
    <w:p>
      <w:pPr>
        <w:pStyle w:val="2"/>
        <w:jc w:val="center"/>
      </w:pPr>
      <w:r>
        <w:rPr>
          <w:sz w:val="20"/>
        </w:rPr>
        <w:t xml:space="preserve">ПИСЬМЕННОЕ ИНФОРМИРОВАННОЕ ДОБРОВОЛЬНОЕ СОГЛАСИЕ НА ИЗЪЯТИЕ</w:t>
      </w:r>
    </w:p>
    <w:p>
      <w:pPr>
        <w:pStyle w:val="2"/>
        <w:jc w:val="center"/>
      </w:pPr>
      <w:r>
        <w:rPr>
          <w:sz w:val="20"/>
        </w:rPr>
        <w:t xml:space="preserve">СВОИХ ОРГАНОВ И (ИЛИ) ТКАНЕЙ ДЛЯ ТРАНСПЛАНТАЦИИ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Медицинское обследование донора, давшего письменное информированное добровольное согласие на изъятие своих органов и (или) тканей для трансплантации (далее - медицинское обследование), проводится с целью определения состояния здоровья донора для изъятия органов и (или) тканей для трансплантации.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Медицинское обследование организуется медицинскими организациями и иными организациями, имеющими лицензию на осуществление медицинской деятельности, включая работы (услуги)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"хирургии (трансплантации органов и (или) тканей)" и (или) "изъятию и хранению органов и (или) тканей человека для трансплантации" (в случае донорства органов и (или) тканей для трансплантации, за исключением костного мозга и гемопоэтических стволовых клеток);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"трансплантации костного мозга и гемопоэтических стволовых клеток" и (или) "забору гемопоэтических стволовых клеток" и (или) "изъятию и хранению органов и (или) тканей человека для трансплантации" (в случае донорства костного мозга и гемопоэтических стволовых клеток).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Медицинское обследование донора костного мозга и гемопоэтических стволовых клеток в части исследований, предусмотренных </w:t>
      </w:r>
      <w:hyperlink w:history="0" w:anchor="P126" w:tooltip="1) HLA-типирование родственного донора-сиблинга (пациент и донор - дети одних родителей) проводится по генам HLA-A, -B, -C, -DQB1 и -DRB1 в высоком разрешении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27" w:tooltip="2) HLA-типирование родственного гаплоидентичного донора (донор, наследующий один общий с пациентом HLA-гаплотип, при условии совместимости на 50 - 90% по 10 и более генам HLA) включает HLA-типирование четырех родительских HLA-гаплотипов по генам HLA-A, -B, -C, -DQB1 и -DRB1 в высоком или в низком разрешении, при отсутствии данных об идентичности общего HLA-гаплотипа проводится HLA-типирование гаплоидентичного донора и пациента по генам HLA-A, -B, -C, -DQB1 и -DRB1 в высоком разрешении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129" w:tooltip="4) для подтверждения идентичности перед трансплантацией проводится повторное взятие образцов крови пациента и донора и HLA-типирование по HLA-A, -B, -C, -DQB1, -DRB1 в высоком разрешении, для снижения риска тяжелых осложнений после трансплантации от неродственного донора по решению консилиума врачей-специалистов выполняется дополнительное HLA-типирование пациента и неродственного донора по генам DRB3/4/5, DPB1 и другим в более высоком (аллельном) уровне разрешения.">
        <w:r>
          <w:rPr>
            <w:sz w:val="20"/>
            <w:color w:val="0000ff"/>
          </w:rPr>
          <w:t xml:space="preserve">4 пункта 8.2</w:t>
        </w:r>
      </w:hyperlink>
      <w:r>
        <w:rPr>
          <w:sz w:val="20"/>
        </w:rPr>
        <w:t xml:space="preserve"> и </w:t>
      </w:r>
      <w:hyperlink w:history="0" w:anchor="P131" w:tooltip="1) определение основных групп по системе AB0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33" w:tooltip="3) определение ДНК цитомегаловируса (Cytomegalovirus) методом ПЦР в периферической и пуповинной крови, количественное исследование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w:anchor="P153" w:tooltip="23) определение ДНК вируса гепатита B (Hepatitis B virus) в крови методом ПЦР, качественное исследование;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 и </w:t>
      </w:r>
      <w:hyperlink w:history="0" w:anchor="P176" w:tooltip="46) определение антител класса M (IgM) к токсоплазме (Toxoplasma gondii) в крови;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- </w:t>
      </w:r>
      <w:hyperlink w:history="0" w:anchor="P177" w:tooltip="47) определение антител класса G (IgG) к токсоплазме (Toxoplasma gondii) в крови;">
        <w:r>
          <w:rPr>
            <w:sz w:val="20"/>
            <w:color w:val="0000ff"/>
          </w:rPr>
          <w:t xml:space="preserve">47 пункта 8.3</w:t>
        </w:r>
      </w:hyperlink>
      <w:r>
        <w:rPr>
          <w:sz w:val="20"/>
        </w:rPr>
        <w:t xml:space="preserve"> настоящего Порядка, проводится медицинскими организациями и иными организациями, имеющими лицензию на осуществление медицинской деятельности, включая работы (услуги) по "трансплантации костного мозга и гемопоэтических стволовых клеток".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Медицинское обследование донора костного мозга и гемопоэтических стволовых клеток в части консультаций и исследований, предусмотренных </w:t>
      </w:r>
      <w:hyperlink w:history="0" w:anchor="P124" w:tooltip="8.1. Консультацию лечащего врача;">
        <w:r>
          <w:rPr>
            <w:sz w:val="20"/>
            <w:color w:val="0000ff"/>
          </w:rPr>
          <w:t xml:space="preserve">пунктом 8.1</w:t>
        </w:r>
      </w:hyperlink>
      <w:r>
        <w:rPr>
          <w:sz w:val="20"/>
        </w:rPr>
        <w:t xml:space="preserve">, </w:t>
      </w:r>
      <w:hyperlink w:history="0" w:anchor="P132" w:tooltip="2) определение подгруппы и других групп крови меньшего значения A-1, A-2, D, Cc, E, Kell, Duffy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w:anchor="P154" w:tooltip="24) определение РНК вируса гепатита C (Hepatitis C virus) в крови методом ПЦР, качественное исследование;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- </w:t>
      </w:r>
      <w:hyperlink w:history="0" w:anchor="P175" w:tooltip="45) исследование уровня фибриногена в крови;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, </w:t>
      </w:r>
      <w:hyperlink w:history="0" w:anchor="P178" w:tooltip="48) исследование уровня хорионического гонадотропина (бета-субъединица) в амниотической жидкости (для женщин);">
        <w:r>
          <w:rPr>
            <w:sz w:val="20"/>
            <w:color w:val="0000ff"/>
          </w:rPr>
          <w:t xml:space="preserve">48</w:t>
        </w:r>
      </w:hyperlink>
      <w:r>
        <w:rPr>
          <w:sz w:val="20"/>
        </w:rPr>
        <w:t xml:space="preserve"> - </w:t>
      </w:r>
      <w:hyperlink w:history="0" w:anchor="P179" w:tooltip="49) общий (клинический) анализ мочи.">
        <w:r>
          <w:rPr>
            <w:sz w:val="20"/>
            <w:color w:val="0000ff"/>
          </w:rPr>
          <w:t xml:space="preserve">49 пункта 8.3</w:t>
        </w:r>
      </w:hyperlink>
      <w:r>
        <w:rPr>
          <w:sz w:val="20"/>
        </w:rPr>
        <w:t xml:space="preserve"> и </w:t>
      </w:r>
      <w:hyperlink w:history="0" w:anchor="P180" w:tooltip="8.4. Инструментальные исследования:">
        <w:r>
          <w:rPr>
            <w:sz w:val="20"/>
            <w:color w:val="0000ff"/>
          </w:rPr>
          <w:t xml:space="preserve">пунктами 8.4</w:t>
        </w:r>
      </w:hyperlink>
      <w:r>
        <w:rPr>
          <w:sz w:val="20"/>
        </w:rPr>
        <w:t xml:space="preserve"> - </w:t>
      </w:r>
      <w:hyperlink w:history="0" w:anchor="P184" w:tooltip="8.6. Консультацию врача-анестезиолога-реаниматолога в случае изъятия костного мозга методом миелоэксфузии.">
        <w:r>
          <w:rPr>
            <w:sz w:val="20"/>
            <w:color w:val="0000ff"/>
          </w:rPr>
          <w:t xml:space="preserve">8.6</w:t>
        </w:r>
      </w:hyperlink>
      <w:r>
        <w:rPr>
          <w:sz w:val="20"/>
        </w:rPr>
        <w:t xml:space="preserve"> настоящего Порядка, проводится медицинскими организациями и иными организациями, имеющими лицензию на осуществление медицинской деятельности, включая работы (услуги) по "забору гемопоэтических стволовых клеток" и (или) "изъятию и хранению органов и (или) тканей человека для трансплантации".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Медицинское обследование проводится при наличии письменного информированного добровольного согласия донора на изъятие своих органов и (или) тканей для трансплантации &lt;1&gt; либо в случае, если донором костного мозга и гемопоэтических стволовых клеток является лицо, не достигшее восемнадцатилетнего возраста - одного из его родителей или иного </w:t>
      </w:r>
      <w:hyperlink w:history="0" r:id="rId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, а также при соблюдении условий, предусмотренных </w:t>
      </w:r>
      <w:hyperlink w:history="0" r:id="rId10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, </w:t>
      </w:r>
      <w:hyperlink w:history="0" r:id="rId11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- </w:t>
      </w:r>
      <w:hyperlink w:history="0" r:id="rId12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Закона N 4180-1.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Абзац третий части второй статьи 11</w:t>
        </w:r>
      </w:hyperlink>
      <w:r>
        <w:rPr>
          <w:sz w:val="20"/>
        </w:rPr>
        <w:t xml:space="preserve"> Закона Российской Федерации от 22 декабря 1992 г. N 4180-1 "О трансплантации органов и (или) тканей человека" (далее - Закон N 4180-1) (Ведомости Съезда народных депутатов Российской Федерации и Верховного Совета Российской Федерации, 1993, N 2, ст. 62; Собрание законодательства Российской Федерации, 2022 г., N 18, ст. 3015).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Медицинское обследование организуется лечащим врачом: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Врачом-хирургом (в случае донорства органов и (или) тканей, за исключением костного мозга и гемопоэтических стволовых клеток);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Врачом-гематологом, врачом-трансфузиологом, врачом-онкологом, врачом - детским онкологом, врачом - детским онкологом-гематологом, врачом-аллергологом-иммунологом, врачом-терапевтом, врачом-педиатром (в случае донорства костного мозга и гемопоэтических стволовых клеток).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донорства органов и (или) тканей (за исключением костного мозга и гемопоэтических стволовых клеток) медицинское обследование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Консультацию лечащего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Консультации врачей-специалистов: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врача-хирурга;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врача-стоматолога, врача-стоматолога-терапевта;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врача-офтальмолога;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врача-оториноларинголога;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врача-акушера-гинеколога (для женщин);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врача-уролога;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врача-кардиолога;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врача-эндокринолога;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врача-онколога (для женщин старше 40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иных врачей-специалистов (при необходимости) по решению лечащего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Лабораторные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основных групп по системе AB0;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антигена D системы Резус (резус-фактор);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антител классов M, G (IgM, IgG) к вирусу иммунодефицита человека ВИЧ-1 (Human immunodeficiency virus HIV 1)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антител классов M, G (IgM, IgG) к вирусу иммунодефицита человека ВИЧ-2 (Human immunodeficiency virus HIV 2)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РНК вируса иммунодефицита человека методом ПЦР, качественное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ДНК вируса гепатита B (Hepatitis B virus) в крови методом ПЦР, качественное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определение РНК вируса гепатита C (Hepatitis C virus) в крови методом ПЦР, качественное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определение антигена (HbsAg) вируса гепатита B (Hepatitis B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антител к вирусу гепатита C (Hepatitis C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определение антител к бледной трепонеме (Treponema pallidum)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определение антител к бледной трепонеме (Treponema pallidum)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определение антител к бледной трепонеме (Treponema pallidum) в нетрепонемных тестах (RPR, РМП) (качественное и полуколичественное исследование) в сыворотке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анализ крови биохимический общетерапевтический;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определение активности щелочной фосфатазы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определение активности гамма-глютамилтрансферазы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исследование уровня мочевой кислоты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исследование уровня натрия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исследование уровня калия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исследование уровня общего кальция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исследование уровня неорганического фосфора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исследование уровня общего магния в сыворотке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исследование уровня антигена аденогенных раков CA 19-9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исследование уровня опухолеассоциированного маркера CA 242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исследование уровня антигена аденогенных раков CA 72-4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исследование уровня ракового эмбрионального антигена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исследование уровня антигена аденогенных раков CA 125 в крови (для женщин);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исследование уровня простатспецифического антигена общего в крови (для мужчин старше 45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исследование уровня простатспецифического антигена свободного в крови (для мужчин старше 45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анализ крови по оценке нарушений липидного обмена биохимический;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определение количества белка в суточной моче;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коагулограмма (ориентировочное исследование системы гемостаза);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общий (клинический) анализ мочи;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исследование мочи методом Нечипоренко (для донора почки);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микробиологическое (культуральное) исследование мочи на бактериальные патогены с применением автоматизированного посева;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исследование уровня тиреотропного гормона (ТТГ)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исследование уровня гликированного гемоглобина в крови (при показаниях).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Инструментальные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регистрация электрокардиограммы;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расшифровка, описание и интерпретация электрокардиографических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эхокардиография;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суточное мониторирование артериального давления (по показаниям);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холтеровское мониторирование сердечного ритма (по показаниям);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электрокардиография с физической нагрузкой (по показаниям);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исследование неспровоцированных дыхательных объемов и потоков;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рентгенография легких;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эзофагогастродуоденоскопия;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эластометрия печени (для донора фрагмента печени);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ультразвуковое исследование органов брюшной полости (комплексное);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ультразвуковое исследование почек и надпочечников;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ультразвуковое исследование щитовидной железы и паращитовидных желез;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ультразвуковое исследование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дуплексное сканирование сосудов (артерий и вен) нижних конечностей;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дуплексное сканирование брюшного отдела аорты, подвздошных и общих бедренных артерий;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дуплексное сканирование экстракраниальных отделов брахиоцефальных артерий;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компьютерная томография органов брюшной полости и забрюшинного пространства с внутривенным болюсным контрастированием;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ультразвуковое исследование органов малого таза комплексное (трансвагинальное и трансабдоминальное);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ультразвуковое исследование предстательной железы (для мужчин старше 45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Иные исследования (при необходимости) по решению лечащего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донорства костного мозга и гемопоэтических клеток медицинское обследование включает: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Консультацию лечащего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Типирование по локусам системы главного комплекса гистосовместимости (далее - HLA-типирование):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HLA-типирование родственного донора-сиблинга (пациент и донор - дети одних родителей) проводится по генам HLA-A, -B, -C, -DQB1 и -DRB1 в высоком разрешении;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HLA-типирование родственного гаплоидентичного донора (донор, наследующий один общий с пациентом HLA-гаплотип, при условии совместимости на 50 - 90% по 10 и более генам HLA) включает HLA-типирование четырех родительских HLA-гаплотипов по генам HLA-A, -B, -C, -DQB1 и -DRB1 в высоком или в низком разрешении, при отсутствии данных об идентичности общего HLA-гаплотипа проводится HLA-типирование гаплоидентичного донора и пациента по генам HLA-A, -B, -C, -DQB1 и -DRB1 в высоком разрешении;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HLA-типирование неродственного донора костного мозга и гемопоэтических стволовых клеток выполняется по генам HLA-A, -B, -C и -DRB1, -DQB1 в высоком разрешении;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для подтверждения идентичности перед трансплантацией проводится повторное взятие образцов крови пациента и донора и HLA-типирование по HLA-A, -B, -C, -DQB1, -DRB1 в высоком разрешении, для снижения риска тяжелых осложнений после трансплантации от неродственного донора по решению консилиума врачей-специалистов выполняется дополнительное HLA-типирование пациента и неродственного донора по генам DRB3/4/5, DPB1 и другим в более высоком (аллельном) уровне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Лабораторные исследования: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основных групп по системе AB0;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подгруппы и других групп крови меньшего значения A-1, A-2, D, Cc, E, Kell, Duffy;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ДНК цитомегаловируса (Cytomegalovirus) методом ПЦР в периферической и пуповинной крови, количественное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ДНК вируса Эпштейна-Барр (Epstein-Barr virus) методом ПЦР в периферической и пуповинной крови, качественное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ДНК вируса герпеса 6 типа (HHV6) методом ПЦР в периферической и пуповинной крови, количественное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антител классов G (IgG) к цитомегаловирусу (Cytomegalovirus)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определение антител классов M (IgM) к цитомегаловирусу (Cytomegalovirus)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определение антител класса G (IgG) к вирусу простого герпеса 1 типа (Herpes simplex virus 1)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антител класса G (IgG) к вирусу простого герпеса 2 типа (Herpes simplex vims 2)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определение антител класса M (IgM) к вирусу простого герпеса 1 и 2 типов (Herpes simplex virus types 1, 2)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определение антител класса M (IgM) к капсидному антигену (VCA) вируса Эпштейна-Барр (Epstein-Barr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определение антител класса G (IgG) к ранним белкам (EA) вируса Эпштейна-Барр (Epstein-Barr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определение антител класса G (IgG) к ядерному антигену (NA) вируса Эпштейна-Барр (Epstein-Barr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исследование уровня антител классов M, G (IgM, IgG) к вирусу иммунодефицита человека ВИЧ-1/2 и антигена p24 (Human immunodeficiency virus HIV 1/2 + Agp24)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определение антигена (HbsAg) вируса гепатита B (Hepatitis B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определение антител к вирусу гепатита C (Hepatitis C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определение антител классов к ядерному антигену (HBcAg) вируса гепатита B (Hepatitis B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определение антител к поверхностному антигену (anti-HBs) вируса гепатита B (Hepatitis B virus), количественное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определение антител к e-антигену (anti-HBe) вируса гепатита B (Hepatitis B virus)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определение антител к бледной трепонеме (Treponema pallidum) в нетрепонемных тестах (RPR, РМП) (качественное и полуколичественное исследование) в сыворотке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определение антител к бледной трепонеме (Treponema pallidum) иммуноферментным методом (ИФА)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определение РНК вируса иммунодефицита человека методом ПЦР, качественное исследование;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определение ДНК вируса гепатита B (Hepatitis B virus) в крови методом ПЦР, качественное исследование;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определение РНК вируса гепатита C (Hepatitis C virus) в крови методом ПЦР, качественное исследование;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общий (клинический) анализ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исследование уровня общего белка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исследование уровня альбумина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определение альбумин/глобулинового соотношения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исследование уровня мочевины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исследование уровня креатинина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исследование уровня мочевой кислоты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исследование уровня общего кальция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исследование уровня калия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исследование уровня натрия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исследование уровня общего билирубина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определение активности гамма-глютамилтрансферазы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определение активности щелочной фосфатазы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определение активности аспартатаминотрансферазы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определение активности аланинаминотрансферазы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определение активности лактатдегидрогеназы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41) исследование уровня железа сыворотки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42) исследование уровня глюкозы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43) определение протромбинового (тромбопластинового) времени в крови или плазме;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44) определение международного нормализованного отношения (MHO);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45) исследование уровня фибриногена в крови;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46) определение антител класса M (IgM) к токсоплазме (Toxoplasma gondii) в крови;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47) определение антител класса G (IgG) к токсоплазме (Toxoplasma gondii) в крови;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48) исследование уровня хорионического гонадотропина (бета-субъединица) в амниотической жидкости (для женщин);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49) общий (клинический) анализ мочи.</w:t>
      </w:r>
    </w:p>
    <w:bookmarkStart w:id="180" w:name="P180"/>
    <w:bookmarkEnd w:id="1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Инструментальные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регистрация электрокардиограммы;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рентгенография легких.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Иные консультации и исследования (при необходимости) по решению лечащего врача.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Консультацию врача-анестезиолога-реаниматолога в случае изъятия костного мозга методом миелоэксфузии.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результатах медицинского обследования донора костного мозга и гемопоэтических стволовых клеток вносится в Федеральный регистр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" w:tooltip="Постановление Правительства РФ от 12.04.2022 N 640 &quot;Об утверждении Правил ведения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12.04.2022 N 640 "Об утверждении Правил ведения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клеток" (Собрание законодательства Российской Федерации, 2022, N 16, ст. 2682).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Результаты медицинского обследования донора приобщаются к его медицинской документации (медицинская карта пациента, получающего медицинскую помощь в амбулаторных условиях &lt;3&gt;, или медицинская карта стационарного больного).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Форма N 025/у</w:t>
        </w:r>
      </w:hyperlink>
      <w:r>
        <w:rPr>
          <w:sz w:val="20"/>
        </w:rPr>
        <w:t xml:space="preserve"> "Медицинская карта пациента, получающего медицинскую помощь в амбулаторных условиях" утверждена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На основании результатов медицинского обследования донора консилиумом врачей-специалистов дается заключение о возможности изъятия у донора органов и (или) тканей для трансплантации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Закон РФ от 22.12.1992 N 4180-1 (ред. от 01.05.2022) &quot;О трансплантации органов и (или) тканей человека&quot; {КонсультантПлюс}">
        <w:r>
          <w:rPr>
            <w:sz w:val="20"/>
            <w:color w:val="0000ff"/>
          </w:rPr>
          <w:t xml:space="preserve">Абзац четвертый части второй статьи 11</w:t>
        </w:r>
      </w:hyperlink>
      <w:r>
        <w:rPr>
          <w:sz w:val="20"/>
        </w:rPr>
        <w:t xml:space="preserve"> Закона N 4180-1.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29.07.2022 N 519н</w:t>
            <w:br/>
            <w:t>"Об утверждении Порядка проведения медицинского обследования донора, давшег...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46F5A77203C6C63E2C888B4A15ECA1FEDD8A4916E62B789BEECDD50446BF14EC558286290A9DAF4DC73E31716363E0B514EDE97h6BAJ" TargetMode = "External"/>
	<Relationship Id="rId8" Type="http://schemas.openxmlformats.org/officeDocument/2006/relationships/hyperlink" Target="consultantplus://offline/ref=246F5A77203C6C63E2C888B4A15ECA1FEDDBAA936A6BB789BEECDD50446BF14EC558286196A585F1C962BB18152920034752DC956BhCBCJ" TargetMode = "External"/>
	<Relationship Id="rId9" Type="http://schemas.openxmlformats.org/officeDocument/2006/relationships/hyperlink" Target="consultantplus://offline/ref=246F5A77203C6C63E2C888B4A15ECA1FE0D0A4956868EA83B6B5D1524364AE59C211246090A28EA19372BF5142253C02514CD68B6BCF2EhDB7J" TargetMode = "External"/>
	<Relationship Id="rId10" Type="http://schemas.openxmlformats.org/officeDocument/2006/relationships/hyperlink" Target="consultantplus://offline/ref=246F5A77203C6C63E2C888B4A15ECA1FEDD8A4916E62B789BEECDD50446BF14EC558286190A28EA4912DBA44537D33014E52DE9D77CD2CD6h0B3J" TargetMode = "External"/>
	<Relationship Id="rId11" Type="http://schemas.openxmlformats.org/officeDocument/2006/relationships/hyperlink" Target="consultantplus://offline/ref=246F5A77203C6C63E2C888B4A15ECA1FEDD8A4916E62B789BEECDD50446BF14EC558286190A28EA19D2DBA44537D33014E52DE9D77CD2CD6h0B3J" TargetMode = "External"/>
	<Relationship Id="rId12" Type="http://schemas.openxmlformats.org/officeDocument/2006/relationships/hyperlink" Target="consultantplus://offline/ref=246F5A77203C6C63E2C888B4A15ECA1FEDD8A4916E62B789BEECDD50446BF14EC558286190A28EA09E2DBA44537D33014E52DE9D77CD2CD6h0B3J" TargetMode = "External"/>
	<Relationship Id="rId13" Type="http://schemas.openxmlformats.org/officeDocument/2006/relationships/hyperlink" Target="consultantplus://offline/ref=246F5A77203C6C63E2C888B4A15ECA1FEDD8A4916E62B789BEECDD50446BF14EC558286190A28EA1912DBA44537D33014E52DE9D77CD2CD6h0B3J" TargetMode = "External"/>
	<Relationship Id="rId14" Type="http://schemas.openxmlformats.org/officeDocument/2006/relationships/hyperlink" Target="consultantplus://offline/ref=246F5A77203C6C63E2C888B4A15ECA1FEDD8A6956C60B789BEECDD50446BF14ED758706D92A390A59038EC1515h2BBJ" TargetMode = "External"/>
	<Relationship Id="rId15" Type="http://schemas.openxmlformats.org/officeDocument/2006/relationships/hyperlink" Target="consultantplus://offline/ref=246F5A77203C6C63E2C888B4A15ECA1FEADFAB976A65B789BEECDD50446BF14EC558286190A28EA19A2DBA44537D33014E52DE9D77CD2CD6h0B3J" TargetMode = "External"/>
	<Relationship Id="rId16" Type="http://schemas.openxmlformats.org/officeDocument/2006/relationships/hyperlink" Target="consultantplus://offline/ref=246F5A77203C6C63E2C888B4A15ECA1FEDD8A4916E62B789BEECDD50446BF14EC558286190A28EA0982DBA44537D33014E52DE9D77CD2CD6h0B3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29.07.2022 N 519н
"Об утверждении Порядка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трансплантации"
(Зарегистрировано в Минюсте России 30.08.2022 N 69838)</dc:title>
  <dcterms:created xsi:type="dcterms:W3CDTF">2023-08-21T09:01:33Z</dcterms:created>
</cp:coreProperties>
</file>