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19.04.2019 N 236н</w:t>
              <w:br/>
              <w:t xml:space="preserve">"О внесении изменений в приложение N 5 к Порядку оказания скорой, в том числе скорой специализированной, медицинской помощи, утвержденному приказом Министерства здравоохранения Российской Федерации от 20 июня 2013 г. N 388н"</w:t>
              <w:br/>
              <w:t xml:space="preserve">(Зарегистрировано в Минюсте России 23.05.2019 N 54706)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23 мая 2019 г. N 54706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19 апреля 2019 г. N 236н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ПРИЛОЖЕНИЕ N 5 К ПОРЯДКУ ОКАЗАНИЯ СКОРОЙ,</w:t>
      </w:r>
    </w:p>
    <w:p>
      <w:pPr>
        <w:pStyle w:val="2"/>
        <w:jc w:val="center"/>
      </w:pPr>
      <w:r>
        <w:rPr>
          <w:sz w:val="20"/>
        </w:rPr>
        <w:t xml:space="preserve">В ТОМ ЧИСЛЕ СКОРОЙ СПЕЦИАЛИЗИРОВАННОЙ, МЕДИЦИНСКОЙ ПОМОЩИ,</w:t>
      </w:r>
    </w:p>
    <w:p>
      <w:pPr>
        <w:pStyle w:val="2"/>
        <w:jc w:val="center"/>
      </w:pPr>
      <w:r>
        <w:rPr>
          <w:sz w:val="20"/>
        </w:rPr>
        <w:t xml:space="preserve">УТВЕРЖДЕННОМУ ПРИКАЗОМ МИНИСТЕРСТВА ЗДРАВООХРАНЕНИЯ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20 ИЮНЯ 2013 Г. N 388Н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изменения в </w:t>
      </w:r>
      <w:hyperlink w:history="0" r:id="rId7" w:tooltip="Приказ Минздрава России от 20.06.2013 N 388н (ред. от 05.05.2016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------------ Недействующая редакция {КонсультантПлюс}">
        <w:r>
          <w:rPr>
            <w:sz w:val="20"/>
            <w:color w:val="0000ff"/>
          </w:rPr>
          <w:t xml:space="preserve">приложение N 5</w:t>
        </w:r>
      </w:hyperlink>
      <w:r>
        <w:rPr>
          <w:sz w:val="20"/>
        </w:rPr>
        <w:t xml:space="preserve"> к Порядку оказания скорой, в том числе скорой специализированной, медицинской помощи, утвержденному приказом Министерства здравоохранения Российской Федерации от 20 июня 2013 г. N 388н (зарегистрирован Министерством юстиции Российской Федерации 16 августа 2013 г., регистрационный N 29422),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42283), согласно </w:t>
      </w:r>
      <w:hyperlink w:history="0" w:anchor="P30" w:tooltip="ИЗМЕНЕНИЯ,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апреля 2019 г. N 236н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ПРИЛОЖЕНИЕ N 5 К ПОРЯДКУ ОКАЗАНИЯ</w:t>
      </w:r>
    </w:p>
    <w:p>
      <w:pPr>
        <w:pStyle w:val="2"/>
        <w:jc w:val="center"/>
      </w:pPr>
      <w:r>
        <w:rPr>
          <w:sz w:val="20"/>
        </w:rPr>
        <w:t xml:space="preserve">СКОРОЙ, В ТОМ ЧИСЛЕ СКОРОЙ СПЕЦИАЛИЗИРОВАННОЙ, МЕДИЦИНСКОЙ</w:t>
      </w:r>
    </w:p>
    <w:p>
      <w:pPr>
        <w:pStyle w:val="2"/>
        <w:jc w:val="center"/>
      </w:pPr>
      <w:r>
        <w:rPr>
          <w:sz w:val="20"/>
        </w:rPr>
        <w:t xml:space="preserve">ПОМОЩИ, УТВЕРЖДЕННОМУ ПРИКАЗОМ МИНИСТЕРСТВА ЗДРАВООХРАНЕНИЯ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20 ИЮНЯ 2013 Г. N 388Н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8" w:tooltip="Приказ Минздрава России от 20.06.2013 N 388н (ред. от 05.05.2016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позициями 7 - 7.39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"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"/>
        <w:gridCol w:w="7427"/>
        <w:gridCol w:w="1474"/>
      </w:tblGrid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2"/>
            <w:tcW w:w="8901" w:type="dxa"/>
          </w:tcPr>
          <w:p>
            <w:pPr>
              <w:pStyle w:val="0"/>
            </w:pPr>
            <w:r>
              <w:rPr>
                <w:sz w:val="20"/>
              </w:rPr>
              <w:t xml:space="preserve">Оснащение воздушного судна: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7.1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Дефибриллятор-монитор (бифазный импульс, встроенный принтер, электроды взрослые и детские, функции электрокардиостимуляции, пульсоксиметрии и неинвазивного измерения артериального давления)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7.2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 трехканальный с автоматическим режимом (наличие дисплея, синхронная запись 12-ти отведений, графическое отображение по три отведения или более, воспроизведение электрокардиограммы с последующей дополнительной обработкой сигнала, с возможностью подключения к компьютеру)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7.3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 портативный транспортный в комплекте со взрослым и детским датчиками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7.4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 системы для ингаляции кислорода - маска и трубка (взрослый и детский), набор дыхательных контуров;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комплект фильтров для дыхательного контура одноразовый (детский и взрослый), встроенный или внешний волюметрический блок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7.5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Редуктор-ингалятор кислородный для проведения кислородной (кислородно-воздушной) и аэрозольной терапии, обеспечивающий подсоединение аппарата искусственной вентиляции легких, в комплекте с кофром (сумкой), основным и запасным баллонами кислородными объемом не менее 1 л каждый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7.6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Электроотсасыватель с бактериальным фильтром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7.7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компрессорный небулайзер (ингалятор)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7.8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Экспресс-измеритель концентрации глюкозы в крови портативный с набором тест-полосок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7.9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 (дозатор лекарственных средств)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7.10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Щит спинальный с устройством для фиксации головы, рентгенпрозрачный, амагнитный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7.11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из четырех шин-воротников разного размера для взрослых либо две шины регулируемого размера для взрослых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7.12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из трех шин-воротников разного размера для детей либо две шины регулируемого размера для детей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7.13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Шина для конечностей длиной 60 см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7.14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Шина для конечностей длиной 80 см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7.15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Шина для конечностей длиной 120 см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7.16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повязок разгружающих для верхней конечности (для взрослых и детей)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7.17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Косынка медицинская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7.18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Одеяло с подогревом (термоодеяло)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7.19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Матрас вакуумный иммобилизационный с разнонаправленными ремнями разного цвета, для обеспечения фиксации по передней поверхности тела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7.20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специализированная (реанимационная) для оказания скорой медицинской помощи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7.21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реанимационный для оказания скорой медицинской помощи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7.22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реанимационный педиатрический для оказания скорой медицинской помощи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7.23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акушерский для оказания скорой медицинской помощи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7.24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Штатив разборный для вливаний с возможностью установки на полу и крепления к носилкам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7.25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Контейнер термоизоляционный с автоматическим поддержанием температуры инфузионных растворов на 6 флаконов либо один контейнер на 12 флаконов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7.26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Баллон газовый объемом 10 л с вентилем под кислород с редуктором к баллону либо иной источник кислорода, обеспечивающий пневмопитание газодыхательной аппаратуры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7.27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разводки медицинских газов (с индикацией значения давления в баллоне и встроенной системой тревог; с разъемами, обеспечивающими сопряжение с газодыхательной аппаратурой)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7.28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Дезинфекционное средство (для обработки рук, объемом не менее 70 мл)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7.29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Дезинфекционное средство (для обработки поверхностей, объемом не менее 1 л)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7.30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Контейнер с дезинфицирующим раствором для использованных игл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7.31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Контейнер пластиковый для использованных инструментов, расходных материалов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7.32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Контейнер для медицинских отходов класса 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7.33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Мешки для медицинских отходов класса А и Б (объемом не менее 10 л)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7.34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Запирающийся сейф не ниже 1-го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средств и психотропных веществ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7.35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 медицинский транспортный или тележка-каталка со съемными носилками и штативом разборным для вливаний с автоматической расфиксацией опор, с не менее чем 3-мя уровнями по высоте, со съемными жесткими носилками, с размещением пациента горизонтально, полусидя с промежуточными уровнями, сидя, Тренделенбурга с приемным устройством тележки-каталки с поперечным перемещением и регулировкой высоты основных носилок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7.36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реанимационно-анестезиологический транспортный (мониторирование электрокардиограммы в 3-х отведениях; с функциями неинвазивного измерения артериального давления, капнометрии, пульсоксиметрии, измерения температуры тела пациента; со встроенным принтером, с возможностью переноса данных на компьютер)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7.37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аппарат для временной эндокардиальной и черезпищеводной электрокардиостимуляции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7.38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роликовый инфузионный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54" w:type="dxa"/>
          </w:tcPr>
          <w:p>
            <w:pPr>
              <w:pStyle w:val="0"/>
            </w:pPr>
            <w:r>
              <w:rPr>
                <w:sz w:val="20"/>
              </w:rPr>
              <w:t xml:space="preserve">7.39</w:t>
            </w:r>
          </w:p>
        </w:tc>
        <w:tc>
          <w:tcPr>
            <w:tcW w:w="7427" w:type="dxa"/>
          </w:tcPr>
          <w:p>
            <w:pPr>
              <w:pStyle w:val="0"/>
            </w:pPr>
            <w:r>
              <w:rPr>
                <w:sz w:val="20"/>
              </w:rPr>
              <w:t xml:space="preserve">Костюм противошоковый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19.04.2019 N 236н</w:t>
            <w:br/>
            <w:t>"О внесении изменений в приложение N 5 к Порядку оказания скорой, в том чис...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C6488DEAA477027084645D0CDB6E8C947A3E4D8D8D697B7010BF9E8C5AAD3D7F97D52615CF5FFB3D20FAC3AE27D6B665BF65FE951Z2XBI" TargetMode = "External"/>
	<Relationship Id="rId8" Type="http://schemas.openxmlformats.org/officeDocument/2006/relationships/hyperlink" Target="consultantplus://offline/ref=FC6488DEAA477027084645D0CDB6E8C947A3E4D8D8D697B7010BF9E8C5AAD3D7F97D52615CF5FFB3D20FAC3AE27D6B665BF65FE951Z2XB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19.04.2019 N 236н
"О внесении изменений в приложение N 5 к Порядку оказания скорой, в том числе скорой специализированной, медицинской помощи, утвержденному приказом Министерства здравоохранения Российской Федерации от 20 июня 2013 г. N 388н"
(Зарегистрировано в Минюсте России 23.05.2019 N 54706)</dc:title>
  <dcterms:created xsi:type="dcterms:W3CDTF">2023-08-22T08:23:25Z</dcterms:created>
</cp:coreProperties>
</file>