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09.06.2020 N 558н</w:t>
              <w:br/>
              <w:t xml:space="preserve">"О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902н"</w:t>
              <w:br/>
              <w:t xml:space="preserve">(Зарегистрировано в Минюсте России 04.08.2020 N 59158)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августа 2020 г. N 59158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июня 2020 г. N 558н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ПОРЯДОК 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ГЛАЗА, ЕГО ПРИДАТОЧНОГО АППАРАТА И ОРБИТЫ,</w:t>
      </w:r>
    </w:p>
    <w:p>
      <w:pPr>
        <w:pStyle w:val="2"/>
        <w:jc w:val="center"/>
      </w:pPr>
      <w:r>
        <w:rPr>
          <w:sz w:val="20"/>
        </w:rPr>
        <w:t xml:space="preserve">УТВЕРЖДЕННЫЙ ПРИКАЗОМ МИНИСТЕРСТВА ЗДРАВООХРАНЕНИЯ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подпунктом 2 части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w:history="0" r:id="rId8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5.2.17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9" w:tooltip="Приказ Минздрава России от 12.11.2012 N 902н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 (зарегистрирован Министерством юстиции Российской Федерации 13 декабря 2012 г., регистрационный N 26116), согласно </w:t>
      </w:r>
      <w:hyperlink w:history="0" w:anchor="P31" w:tooltip="ИЗМЕНЕНИЯ,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июня 2020 г. N 558н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ПОРЯДОК ОКАЗАНИЯ МЕДИЦИНСКОЙ</w:t>
      </w:r>
    </w:p>
    <w:p>
      <w:pPr>
        <w:pStyle w:val="2"/>
        <w:jc w:val="center"/>
      </w:pPr>
      <w:r>
        <w:rPr>
          <w:sz w:val="20"/>
        </w:rPr>
        <w:t xml:space="preserve">ПОМОЩИ ВЗРОСЛОМУ НАСЕЛЕНИЮ ПРИ ЗАБОЛЕВАНИЯХ ГЛАЗА,</w:t>
      </w:r>
    </w:p>
    <w:p>
      <w:pPr>
        <w:pStyle w:val="2"/>
        <w:jc w:val="center"/>
      </w:pPr>
      <w:r>
        <w:rPr>
          <w:sz w:val="20"/>
        </w:rPr>
        <w:t xml:space="preserve">ЕГО ПРИДАТОЧНОГО АППАРАТА И ОРБИТЫ, УТВЕРЖДЕННЫЙ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риказ Минздрава России от 12.11.2012 N 902н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 ------------ Недействующая редакция {КонсультантПлюс}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Порядка оказания медицинской помощи взрослому населению при заболеваниях глаза, его придаточного аппарата и орбиты, утвержденного указанным приказом (далее - Порядок), слова "приложениями N 1 - 17 к настоящему Порядку" заменить словами "приложениями N 1 - 24 к настоящему Порядку".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Дополнить </w:t>
      </w:r>
      <w:hyperlink w:history="0" r:id="rId11" w:tooltip="Приказ Минздрава России от 12.11.2012 N 902н &quot;Об утверждении Порядка оказания медицинской помощи взрослому населению при заболеваниях глаза, его придаточного аппарата и орбиты&quot; (Зарегистрировано в Минюсте России 13.12.2012 N 26116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приложениями N 19 - 24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N 19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КАБИНЕТА ПРОСТОЙ КОРРЕКЦИИ ЗРЕНИЯ</w:t>
      </w:r>
    </w:p>
    <w:p>
      <w:pPr>
        <w:pStyle w:val="0"/>
        <w:jc w:val="center"/>
      </w:pPr>
      <w:r>
        <w:rPr>
          <w:sz w:val="20"/>
        </w:rPr>
        <w:t xml:space="preserve">(КАБИНЕТА ОПТОМЕТРИИ)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простой коррекции зрения (кабинета оптометрии)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доврачебной медико-санитарной помощи, специализированной медицинской помощи взрослому населению при рефракционных нарушениях и зрительной дезадаптации (оптометрических нарушениях), включающей подбор очковой коррекции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приложением N 20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медицинского оптика-оптометриста Кабинета устанавливается исходя из меньшей численности взрослого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медицинского оптика-оптометриста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&lt;1&gt; по </w:t>
      </w:r>
      <w:hyperlink w:history="0" r:id="rId12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"медицинская оптика".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граждан по вопросам оптической коррекции зрения и назначение им корригирующих сферических и сфероцилиндрических очков, подбор контактных линз серийного производства по назначению врача-офтальмолога, средств для коррекции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лиц, нуждающихся в сложной, специальной, контактной коррекции зрения, и направление их в кабинет сложной и специальной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 с признаками заболеваний глаза, его придаточного аппарата и орбиты и направление их в офтальмологический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санитарно-просветительная работа по вопросам оптической коррекции зрения и ведения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приложением N 21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20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КАБИНЕТА ПРОСТОЙ КОРРЕКЦИИ ЗРЕНИЯ (КАБИНЕТА ОПТОМЕТРИИ)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3969"/>
        <w:gridCol w:w="4479"/>
      </w:tblGrid>
      <w:tr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8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  <w:tc>
          <w:tcPr>
            <w:tcW w:w="447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20 000 человек прикрепленного населения &lt;1&gt; 1 на кабинет &lt;2&gt;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Для медицинских организаций, оказывающих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Для медицинских организаций, оказывающих специализированную медицинскую помощь.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21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КАБИНЕТА ПРОСТОЙ КОРРЕКЦИИ ЗРЕНИЯ</w:t>
      </w:r>
    </w:p>
    <w:p>
      <w:pPr>
        <w:pStyle w:val="0"/>
        <w:jc w:val="center"/>
      </w:pPr>
      <w:r>
        <w:rPr>
          <w:sz w:val="20"/>
        </w:rPr>
        <w:t xml:space="preserve">(КАБИНЕТА ОПТОМЕТРИИ)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984"/>
        <w:gridCol w:w="2721"/>
        <w:gridCol w:w="2275"/>
        <w:gridCol w:w="130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1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медицинских изделий &lt;1&gt;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1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очковых линз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206290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Оправа для пробных очковых линз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очковая пробная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118500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Проектор для проверки остроты зрения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118390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проверки остроты зрения электронная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исследования остроты зрения вблизи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172230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Рефрактометр офтальмологический, автоматический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рефрактометр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335610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ручной зеркальный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зеркальный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122920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с ручной регулировкой,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Диоптриметр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216210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автоматический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Лампа щелевая офтальмологическая, смотровая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батареи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батареи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монокулярный,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 лазерный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228970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Призма Френеля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Призменный компенсатор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офтальмотонуса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171850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обновлении номенклатурной </w:t>
      </w:r>
      <w:hyperlink w:history="0" r:id="rId1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код вида может быть изменен.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Необходимо наличие одной из указанных позиций.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22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КАБИНЕТА СЛОЖНОЙ И СПЕЦИАЛЬНОЙ</w:t>
      </w:r>
    </w:p>
    <w:p>
      <w:pPr>
        <w:pStyle w:val="0"/>
        <w:jc w:val="center"/>
      </w:pPr>
      <w:r>
        <w:rPr>
          <w:sz w:val="20"/>
        </w:rPr>
        <w:t xml:space="preserve">КОРРЕКЦИИ ЗРЕНИЯ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сложной и специальной коррекции зрения (далее - Кабинет),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доврачебной медико-санитарной помощи, первичной специализированной медико-санитарной помощи, специализированной медицинской помощи взрослому населению при заболеваниях глаза, его придаточного аппарата и орбиты, включающей консультативно-диагностические, лечебные и реабилитационные мероприятия пациентам, нуждающимся в коррекции зрения.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организации, в составе которого создан Кабинет, исходя из объема проводимой работы и численности обслуживаемого населения, с учетом рекомендуемых штатных нормативов, предусмотренных приложением N 23 к Порядку оказания медицинской помощи взрослому населению при заболеваниях глаза, его придаточного аппарата и орбиты, утвержденному настоящим приказом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штатные нормативы Кабинета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районов с низкой плотностью населения и ограниченной транспортной доступностью медицинских организаций количество должностей врача-офтальмолога Кабинета устанавливается исходя из меньшей численности взрослого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врача-офтальмолога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</w:t>
      </w:r>
      <w:hyperlink w:history="0" r:id="rId20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"офтальмология", а также требованиям профессионального </w:t>
      </w:r>
      <w:hyperlink w:history="0" r:id="rId21" w:tooltip="Приказ Минтруда России от 05.06.2017 N 470н &quot;Об утверждении профессионального стандарта &quot;Врач-офтальмолог&quot; (Зарегистрировано в Минюсте России 26.06.2017 N 47191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"Врач-офтальмолог"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3" w:tooltip="Приказ Минтруда России от 05.06.2017 N 470н &quot;Об утверждении профессионального стандарта &quot;Врач-офтальмолог&quot; (Зарегистрировано в Минюсте России 26.06.2017 N 471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5 июня 2017 г. N 470н "Об утверждении профессионального стандарта "Врач-офтальмолог" (зарегистрирован Министерством юстиции Российской Федерации 26 июня 2017 г., регистрационный N 47191).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должность медицинского оптика-оптометриста Кабинета назначается специалист, соответствующий Квалификационным требованиям к медицинским и фармацевтическим работникам со средним медицинским и фармацевтическим образованием &lt;3&gt; по </w:t>
      </w:r>
      <w:hyperlink w:history="0" r:id="rId24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специальности</w:t>
        </w:r>
      </w:hyperlink>
      <w:r>
        <w:rPr>
          <w:sz w:val="20"/>
        </w:rPr>
        <w:t xml:space="preserve"> "медицинская оптика".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пациентов с нарушениями зрения и назначение им сферических, сфероцилиндрических, призматических, сферопризматических и других сложных очков, контактных линз серийного производства, призм Френеля и иных средств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 с признаками заболеваний глаза, его придаточного аппарата и орбиты и направление их в офтальмологический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пациентов в организации, изготавливающие и реализующие средства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оформление рецептов на медицинские изделия для осуществления коррекции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обучения пациентов использованию и уходу за сложными и специальными средствами коррекции и контактными линзами (в случае осуществления в организации контактной коррекции) и при необходимости проведения тренировок;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и лечебной помощи пациентам с функциональными нарушениями зрения, в том числе пациентам, не удовлетворенным очковой коррекцией;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среди пациентов лиц, нуждающихся в контактной коррекции зрения линзами индивидуального изготовления;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санитарно-просветительная работа по вопросам оптической коррекции зрения и ведения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выполнении программ, направленных на профилактику слепоты и слабовидения;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отчетности по видам, формам, в сроки и в объеме, которые установлены уполномоченным федеральным органом исполнительной власти &lt;4&gt;, сбор и представление первичных данных о медицинской деятельности для информационных систем в сфере здравоохранения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22, ст. 2675) (далее - Федеральный закон от 21 ноября 2011 г. N 323-ФЗ).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Оснащение Кабинета осуществляется в соответствии со стандартом оснащения, предусмотренным приложением N 24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23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КАБИНЕТА СЛОЖНОЙ И СПЕЦИАЛЬНОЙ КОРРЕКЦИИ ЗРЕНИЯ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4025"/>
        <w:gridCol w:w="4479"/>
      </w:tblGrid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оптик-оптометрист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 на каждую должность врача-офтальмолога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24</w:t>
      </w:r>
    </w:p>
    <w:p>
      <w:pPr>
        <w:pStyle w:val="0"/>
        <w:jc w:val="right"/>
      </w:pPr>
      <w:r>
        <w:rPr>
          <w:sz w:val="20"/>
        </w:rPr>
        <w:t xml:space="preserve">к Порядку оказания</w:t>
      </w:r>
    </w:p>
    <w:p>
      <w:pPr>
        <w:pStyle w:val="0"/>
        <w:jc w:val="right"/>
      </w:pPr>
      <w:r>
        <w:rPr>
          <w:sz w:val="20"/>
        </w:rPr>
        <w:t xml:space="preserve">медицинской помощи взрослому</w:t>
      </w:r>
    </w:p>
    <w:p>
      <w:pPr>
        <w:pStyle w:val="0"/>
        <w:jc w:val="right"/>
      </w:pPr>
      <w:r>
        <w:rPr>
          <w:sz w:val="20"/>
        </w:rPr>
        <w:t xml:space="preserve">населению при заболеваниях</w:t>
      </w:r>
    </w:p>
    <w:p>
      <w:pPr>
        <w:pStyle w:val="0"/>
        <w:jc w:val="right"/>
      </w:pPr>
      <w:r>
        <w:rPr>
          <w:sz w:val="20"/>
        </w:rPr>
        <w:t xml:space="preserve">глаза, его придаточного</w:t>
      </w:r>
    </w:p>
    <w:p>
      <w:pPr>
        <w:pStyle w:val="0"/>
        <w:jc w:val="right"/>
      </w:pPr>
      <w:r>
        <w:rPr>
          <w:sz w:val="20"/>
        </w:rPr>
        <w:t xml:space="preserve">аппарата и орбиты,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2012 г. N 902н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КАБИНЕТА СЛОЖНОЙ И СПЕЦИАЛЬНОЙ КОРРЕКЦИИ ЗРЕНИЯ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984"/>
        <w:gridCol w:w="2721"/>
        <w:gridCol w:w="2275"/>
        <w:gridCol w:w="130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hyperlink w:history="0" r:id="rId2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медицинских изделий &lt;1&gt;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 в соответствии с номенклатурной </w:t>
            </w:r>
            <w:hyperlink w:history="0" r:id="rId29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      <w:r>
                <w:rPr>
                  <w:sz w:val="20"/>
                  <w:color w:val="0000ff"/>
                </w:rPr>
                <w:t xml:space="preserve">классификацией</w:t>
              </w:r>
            </w:hyperlink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оснащения (оборудования)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очковых линз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линз с пробными оправами и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206290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Оправа для пробных очковых линз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206310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очковая пробная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118500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Проектор для проверки остроты зрения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проектор знаков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118390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проверки остроты зрения электронная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Таблица для исследования остроты зрения вблизи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336080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Рефрактокератометр, автоматический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кераторефрактометр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Лампа щелевая офтальмологическая, смотровая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Щелевая лампа стационарная с принадлежностями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батареи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Электрический офтальмоскоп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бинокулярный, с питанием от батареи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прямой,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262590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монокулярный,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262580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непрямой бинокулярный лазерный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335610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ручной зеркальный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Офтальмоскоп зеркальный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216210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автоматический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Диоптриметр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122920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Диоптриметр с ручной регулировкой, с питанием от сети</w:t>
            </w:r>
          </w:p>
        </w:tc>
        <w:tc>
          <w:tcPr>
            <w:vMerge w:val="continue"/>
          </w:tcPr>
          <w:p/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228970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Призма Френеля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Призменный компенсатор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103020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однодневная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Набор пробных контактных линз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103040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дневного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мягкая корригирующая, длительного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103080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146460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 газопроницаемая, дневного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146470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Линза контактная жесткая корригирующая газопроницаемая, длительного ношения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150660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Анализатор для системы топографии роговицы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0"/>
              </w:rPr>
              <w:t xml:space="preserve">Кератотопограф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73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&lt;2&gt;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172460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офтальмологический, с питанием от сети</w:t>
            </w:r>
          </w:p>
        </w:tc>
        <w:tc>
          <w:tcPr>
            <w:tcW w:w="22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офтальмотонуса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172450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с питанием от батареи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171850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офтальмологический ручной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  <w:spacing w:before="200" w:line-rule="auto"/>
        <w:jc w:val="right"/>
      </w:pPr>
      <w:r>
        <w:rPr>
          <w:sz w:val="20"/>
        </w:rPr>
        <w:t xml:space="preserve">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24852), с изменениями, внесенными приказом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(далее - номенклатурная классификация).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обновлении номенклатурной </w:t>
      </w:r>
      <w:hyperlink w:history="0" r:id="rId3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сам в зависимости от потенциального риска их применения&quot;) (Зарегистрировано в Минюсте России 09.07.2012 N 24852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код вида может быть изменен.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Необходимо наличие одной из указанных позиций.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09.06.2020 N 558н</w:t>
            <w:br/>
            <w:t>"О внесении изменений в Порядок оказания медицинской помощи взрослому насел...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E7E052E2142CC4A9C2E544FAD3CF124D086FDE072F637BC3AE452A2407EE3ECFA73294B806FC30F2B3A2F967FF3CD2096C177632Fb5EEH" TargetMode = "External"/>
	<Relationship Id="rId8" Type="http://schemas.openxmlformats.org/officeDocument/2006/relationships/hyperlink" Target="consultantplus://offline/ref=DE7E052E2142CC4A9C2E544FAD3CF124D081F7E971F837BC3AE452A2407EE3ECFA732949856BC8587F752ECA39A4DE229CC1756B335F9E97b5E0H" TargetMode = "External"/>
	<Relationship Id="rId9" Type="http://schemas.openxmlformats.org/officeDocument/2006/relationships/hyperlink" Target="consultantplus://offline/ref=DE7E052E2142CC4A9C2E544FAD3CF124D580F6EA75F237BC3AE452A2407EE3ECFA732949856BC85A7A752ECA39A4DE229CC1756B335F9E97b5E0H" TargetMode = "External"/>
	<Relationship Id="rId10" Type="http://schemas.openxmlformats.org/officeDocument/2006/relationships/hyperlink" Target="consultantplus://offline/ref=DE7E052E2142CC4A9C2E544FAD3CF124D580F6EA75F237BC3AE452A2407EE3ECFA732949856BC85E7F752ECA39A4DE229CC1756B335F9E97b5E0H" TargetMode = "External"/>
	<Relationship Id="rId11" Type="http://schemas.openxmlformats.org/officeDocument/2006/relationships/hyperlink" Target="consultantplus://offline/ref=DE7E052E2142CC4A9C2E544FAD3CF124D580F6EA75F237BC3AE452A2407EE3ECFA732949856BC85A7A752ECA39A4DE229CC1756B335F9E97b5E0H" TargetMode = "External"/>
	<Relationship Id="rId12" Type="http://schemas.openxmlformats.org/officeDocument/2006/relationships/hyperlink" Target="consultantplus://offline/ref=DE7E052E2142CC4A9C2E544FAD3CF124D58AFAEB77F937BC3AE452A2407EE3ECFA732949856BC95A79752ECA39A4DE229CC1756B335F9E97b5E0H" TargetMode = "External"/>
	<Relationship Id="rId13" Type="http://schemas.openxmlformats.org/officeDocument/2006/relationships/hyperlink" Target="consultantplus://offline/ref=DE7E052E2142CC4A9C2E544FAD3CF124D58AFAEB77F937BC3AE452A2407EE3ECE87371458769D65B7260789B7FbFE2H" TargetMode = "External"/>
	<Relationship Id="rId14" Type="http://schemas.openxmlformats.org/officeDocument/2006/relationships/hyperlink" Target="consultantplus://offline/ref=DE7E052E2142CC4A9C2E544FAD3CF124D086FDE072F637BC3AE452A2407EE3ECFA732949856BCF5279752ECA39A4DE229CC1756B335F9E97b5E0H" TargetMode = "External"/>
	<Relationship Id="rId15" Type="http://schemas.openxmlformats.org/officeDocument/2006/relationships/hyperlink" Target="consultantplus://offline/ref=DE7E052E2142CC4A9C2E544FAD3CF124D086FDE072F637BC3AE452A2407EE3ECFA73294A816EC30F2B3A2F967FF3CD2096C177632Fb5EEH" TargetMode = "External"/>
	<Relationship Id="rId16" Type="http://schemas.openxmlformats.org/officeDocument/2006/relationships/hyperlink" Target="consultantplus://offline/ref=DE7E052E2142CC4A9C2E544FAD3CF124D786F6EE74F437BC3AE452A2407EE3ECFA73294A8E3F991F2F73789963F1DB3E9CDF77b6E0H" TargetMode = "External"/>
	<Relationship Id="rId17" Type="http://schemas.openxmlformats.org/officeDocument/2006/relationships/hyperlink" Target="consultantplus://offline/ref=DE7E052E2142CC4A9C2E544FAD3CF124D786F6EE74F437BC3AE452A2407EE3ECFA73294A8E3F991F2F73789963F1DB3E9CDF77b6E0H" TargetMode = "External"/>
	<Relationship Id="rId18" Type="http://schemas.openxmlformats.org/officeDocument/2006/relationships/hyperlink" Target="consultantplus://offline/ref=DE7E052E2142CC4A9C2E544FAD3CF124D786F6EE74F437BC3AE452A2407EE3ECE87371458769D65B7260789B7FbFE2H" TargetMode = "External"/>
	<Relationship Id="rId19" Type="http://schemas.openxmlformats.org/officeDocument/2006/relationships/hyperlink" Target="consultantplus://offline/ref=DE7E052E2142CC4A9C2E544FAD3CF124D786F6EE74F437BC3AE452A2407EE3ECFA73294A8E3F991F2F73789963F1DB3E9CDF77b6E0H" TargetMode = "External"/>
	<Relationship Id="rId20" Type="http://schemas.openxmlformats.org/officeDocument/2006/relationships/hyperlink" Target="consultantplus://offline/ref=DE7E052E2142CC4A9C2E544FAD3CF124D087F8EA7BF037BC3AE452A2407EE3ECFA732949856BCC5B73752ECA39A4DE229CC1756B335F9E97b5E0H" TargetMode = "External"/>
	<Relationship Id="rId21" Type="http://schemas.openxmlformats.org/officeDocument/2006/relationships/hyperlink" Target="consultantplus://offline/ref=DE7E052E2142CC4A9C2E544FAD3CF124D682F6E977F237BC3AE452A2407EE3ECFA732949856BC85B73752ECA39A4DE229CC1756B335F9E97b5E0H" TargetMode = "External"/>
	<Relationship Id="rId22" Type="http://schemas.openxmlformats.org/officeDocument/2006/relationships/hyperlink" Target="consultantplus://offline/ref=DE7E052E2142CC4A9C2E544FAD3CF124D087F8EA7BF037BC3AE452A2407EE3ECE87371458769D65B7260789B7FbFE2H" TargetMode = "External"/>
	<Relationship Id="rId23" Type="http://schemas.openxmlformats.org/officeDocument/2006/relationships/hyperlink" Target="consultantplus://offline/ref=DE7E052E2142CC4A9C2E544FAD3CF124D682F6E977F237BC3AE452A2407EE3ECE87371458769D65B7260789B7FbFE2H" TargetMode = "External"/>
	<Relationship Id="rId24" Type="http://schemas.openxmlformats.org/officeDocument/2006/relationships/hyperlink" Target="consultantplus://offline/ref=DE7E052E2142CC4A9C2E544FAD3CF124D58AFAEB77F937BC3AE452A2407EE3ECFA732949856BC95A79752ECA39A4DE229CC1756B335F9E97b5E0H" TargetMode = "External"/>
	<Relationship Id="rId25" Type="http://schemas.openxmlformats.org/officeDocument/2006/relationships/hyperlink" Target="consultantplus://offline/ref=DE7E052E2142CC4A9C2E544FAD3CF124D58AFAEB77F937BC3AE452A2407EE3ECE87371458769D65B7260789B7FbFE2H" TargetMode = "External"/>
	<Relationship Id="rId26" Type="http://schemas.openxmlformats.org/officeDocument/2006/relationships/hyperlink" Target="consultantplus://offline/ref=DE7E052E2142CC4A9C2E544FAD3CF124D086FDE072F637BC3AE452A2407EE3ECFA732949856BCF5279752ECA39A4DE229CC1756B335F9E97b5E0H" TargetMode = "External"/>
	<Relationship Id="rId27" Type="http://schemas.openxmlformats.org/officeDocument/2006/relationships/hyperlink" Target="consultantplus://offline/ref=DE7E052E2142CC4A9C2E544FAD3CF124D086FDE072F637BC3AE452A2407EE3ECFA73294A816EC30F2B3A2F967FF3CD2096C177632Fb5EEH" TargetMode = "External"/>
	<Relationship Id="rId28" Type="http://schemas.openxmlformats.org/officeDocument/2006/relationships/hyperlink" Target="consultantplus://offline/ref=DE7E052E2142CC4A9C2E544FAD3CF124D786F6EE74F437BC3AE452A2407EE3ECFA73294A8E3F991F2F73789963F1DB3E9CDF77b6E0H" TargetMode = "External"/>
	<Relationship Id="rId29" Type="http://schemas.openxmlformats.org/officeDocument/2006/relationships/hyperlink" Target="consultantplus://offline/ref=DE7E052E2142CC4A9C2E544FAD3CF124D786F6EE74F437BC3AE452A2407EE3ECFA73294A8E3F991F2F73789963F1DB3E9CDF77b6E0H" TargetMode = "External"/>
	<Relationship Id="rId30" Type="http://schemas.openxmlformats.org/officeDocument/2006/relationships/hyperlink" Target="consultantplus://offline/ref=DE7E052E2142CC4A9C2E544FAD3CF124D786F6EE74F437BC3AE452A2407EE3ECE87371458769D65B7260789B7FbFE2H" TargetMode = "External"/>
	<Relationship Id="rId31" Type="http://schemas.openxmlformats.org/officeDocument/2006/relationships/hyperlink" Target="consultantplus://offline/ref=DE7E052E2142CC4A9C2E544FAD3CF124D786F6EE74F437BC3AE452A2407EE3ECFA73294A8E3F991F2F73789963F1DB3E9CDF77b6E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09.06.2020 N 558н
"О внесении изменений в Порядок оказания медицинской помощи взрослому населению при заболеваниях глаза, его придаточного аппарата и орбиты, утвержденный приказом Министерства здравоохранения Российской Федерации от 12 ноября 2012 г. N 902н"
(Зарегистрировано в Минюсте России 04.08.2020 N 59158)</dc:title>
  <dcterms:created xsi:type="dcterms:W3CDTF">2023-08-22T07:04:27Z</dcterms:created>
</cp:coreProperties>
</file>